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11 -->
  <w:body>
    <w:p w:rsidR="00B23D65" w:rsidRPr="00D46AAD" w:rsidP="009811C9" w14:paraId="2ED3D52C" w14:textId="70350C53">
      <w:pPr>
        <w:pStyle w:val="BodyText"/>
        <w:bidi w:val="0"/>
        <w:spacing w:line="276" w:lineRule="auto"/>
        <w:ind w:left="6422" w:hanging="1035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46AA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66660" cy="895350"/>
            <wp:effectExtent l="0" t="0" r="0" b="0"/>
            <wp:docPr id="20" name="Picture 20" descr="C:\Users\chrisv\Desktop\Omb%20Bilingual_NEW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07660" name="Picture 1" descr="C:\Users\chrisv\Desktop\Omb%20Bilingual_NEW_Blu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55" cy="89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986ACD" w:rsidRPr="00D46AAD" w:rsidP="009811C9" w14:paraId="26636982" w14:textId="722E0B91">
      <w:pPr>
        <w:pStyle w:val="BodyText"/>
        <w:spacing w:line="276" w:lineRule="auto"/>
        <w:ind w:left="6422" w:hanging="752"/>
        <w:rPr>
          <w:rFonts w:ascii="Arial" w:hAnsi="Arial" w:cs="Arial"/>
          <w:sz w:val="24"/>
          <w:szCs w:val="24"/>
        </w:rPr>
      </w:pPr>
    </w:p>
    <w:p w:rsidR="00986ACD" w:rsidRPr="00D46AAD" w:rsidP="009811C9" w14:paraId="6B7EB35B" w14:textId="1BE68182">
      <w:pPr>
        <w:pStyle w:val="BodyText"/>
        <w:spacing w:line="276" w:lineRule="auto"/>
        <w:ind w:left="6422" w:hanging="752"/>
        <w:rPr>
          <w:rFonts w:ascii="Arial" w:hAnsi="Arial" w:cs="Arial"/>
          <w:sz w:val="24"/>
          <w:szCs w:val="24"/>
        </w:rPr>
      </w:pPr>
      <w:r w:rsidRPr="00D46AA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823595</wp:posOffset>
                </wp:positionH>
                <wp:positionV relativeFrom="paragraph">
                  <wp:posOffset>278130</wp:posOffset>
                </wp:positionV>
                <wp:extent cx="5936615" cy="841375"/>
                <wp:effectExtent l="0" t="0" r="6985" b="15875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36615" cy="841375"/>
                          <a:chOff x="1298" y="142"/>
                          <a:chExt cx="9349" cy="848"/>
                        </a:xfrm>
                      </wpg:grpSpPr>
                      <wps:wsp xmlns:wps="http://schemas.microsoft.com/office/word/2010/wordprocessingShape"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303" y="152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332" y="152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332" y="171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574" y="152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618" y="176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03" y="94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32" y="961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32" y="941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32" y="922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574" y="961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574" y="94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08" y="147"/>
                            <a:ext cx="0" cy="7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27" y="166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618" y="627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598" y="147"/>
                            <a:ext cx="0" cy="79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579" y="166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18" y="161"/>
                            <a:ext cx="9286" cy="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D65" w:rsidRPr="000A158D" w:rsidP="00531420" w14:textId="25829AB9">
                              <w:pPr>
                                <w:bidi w:val="0"/>
                                <w:spacing w:before="84"/>
                                <w:ind w:left="924" w:right="903"/>
                                <w:jc w:val="center"/>
                                <w:rPr>
                                  <w:rFonts w:ascii="Arial" w:hAnsi="Arial" w:cs="Arial"/>
                                  <w:b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Style w:val="DefaultParagraphFont"/>
                                  <w:rFonts w:ascii="Arial" w:eastAsia="Arial" w:hAnsi="Arial" w:cs="Arial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shadow w:val="0"/>
                                  <w:emboss w:val="0"/>
                                  <w:imprint w:val="0"/>
                                  <w:noProof w:val="0"/>
                                  <w:vanish w:val="0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25"/>
                                  <w:szCs w:val="25"/>
                                  <w:highlight w:val="none"/>
                                  <w:u w:val="none" w:color="auto"/>
                                  <w:bdr w:val="none" w:sz="0" w:space="0" w:color="auto"/>
                                  <w:shd w:val="clear" w:color="auto" w:fill="auto"/>
                                  <w:vertAlign w:val="baseline"/>
                                  <w:rtl w:val="0"/>
                                  <w:cs w:val="0"/>
                                  <w:lang w:val="cy-GB" w:eastAsia="en-US" w:bidi="ar-SA"/>
                                </w:rPr>
                                <w:t>Ymateb gan Ombwdsmon Gwasanaethau Cyhoeddus Cymru i ymgynghoriad Llywodraeth Cymru ‘Cymru Fwy Cyfartal:</w:t>
                              </w:r>
                              <w:r>
                                <w:rPr>
                                  <w:rStyle w:val="DefaultParagraphFont"/>
                                  <w:rFonts w:ascii="Arial" w:eastAsia="Arial" w:hAnsi="Arial" w:cs="Arial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shadow w:val="0"/>
                                  <w:emboss w:val="0"/>
                                  <w:imprint w:val="0"/>
                                  <w:noProof w:val="0"/>
                                  <w:vanish w:val="0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25"/>
                                  <w:szCs w:val="25"/>
                                  <w:highlight w:val="none"/>
                                  <w:u w:val="none" w:color="auto"/>
                                  <w:bdr w:val="none" w:sz="0" w:space="0" w:color="auto"/>
                                  <w:shd w:val="clear" w:color="auto" w:fill="auto"/>
                                  <w:vertAlign w:val="baseline"/>
                                  <w:rtl w:val="0"/>
                                  <w:cs w:val="0"/>
                                  <w:lang w:val="cy-GB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Style w:val="DefaultParagraphFont"/>
                                  <w:rFonts w:ascii="Arial" w:eastAsia="Arial" w:hAnsi="Arial" w:cs="Arial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shadow w:val="0"/>
                                  <w:emboss w:val="0"/>
                                  <w:imprint w:val="0"/>
                                  <w:noProof w:val="0"/>
                                  <w:vanish w:val="0"/>
                                  <w:color w:val="auto"/>
                                  <w:spacing w:val="0"/>
                                  <w:w w:val="100"/>
                                  <w:kern w:val="0"/>
                                  <w:position w:val="0"/>
                                  <w:sz w:val="25"/>
                                  <w:szCs w:val="25"/>
                                  <w:highlight w:val="none"/>
                                  <w:u w:val="none" w:color="auto"/>
                                  <w:bdr w:val="none" w:sz="0" w:space="0" w:color="auto"/>
                                  <w:shd w:val="clear" w:color="auto" w:fill="auto"/>
                                  <w:vertAlign w:val="baseline"/>
                                  <w:rtl w:val="0"/>
                                  <w:cs w:val="0"/>
                                  <w:lang w:val="cy-GB" w:eastAsia="en-US" w:bidi="ar-SA"/>
                                </w:rPr>
                                <w:t>Atgyfnerthu Partneriaeth Gymdeithasol’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5" style="width:468pt;height:67.5pt;margin-top:21.9pt;margin-left:64.85pt;mso-height-percent:0;mso-height-relative:page;mso-position-horizontal-relative:page;mso-width-percent:0;mso-width-relative:page;mso-wrap-distance-bottom:0;mso-wrap-distance-left:0;mso-wrap-distance-right:0;mso-wrap-distance-top:0;position:absolute;z-index:251658240" coordorigin="2998,3616" coordsize="21600,21600">
                <v:line id="_x0000_s1026" style="position:absolute;v-text-anchor:top" from="3010,3872" to="3077,3872" fillcolor="this" stroked="t" strokecolor="black" strokeweight="0.48pt">
                  <v:stroke joinstyle="round"/>
                </v:line>
                <v:line id="_x0000_s1027" style="position:absolute;v-text-anchor:top" from="3077,3872" to="24430,3872" fillcolor="this" stroked="t" strokecolor="black" strokeweight="0.48pt">
                  <v:stroke joinstyle="round"/>
                </v:line>
                <v:line id="_x0000_s1028" style="position:absolute;v-text-anchor:top" from="3077,4356" to="24430,4356" fillcolor="this" stroked="t" strokecolor="black" strokeweight="0.48pt">
                  <v:stroke joinstyle="round"/>
                </v:line>
                <v:line id="_x0000_s1029" style="position:absolute;v-text-anchor:top" from="24430,3872" to="24497,3872" fillcolor="this" stroked="t" strokecolor="black" strokeweight="0.48pt">
                  <v:stroke joinstyle="round"/>
                </v:line>
                <v:line id="_x0000_s1030" style="position:absolute;v-text-anchor:top" from="24532,4483" to="24532,15971" fillcolor="this" stroked="t" strokecolor="black" strokeweight="1.44pt">
                  <v:stroke joinstyle="round"/>
                </v:line>
                <v:line id="_x0000_s1031" style="position:absolute;v-text-anchor:top" from="3010,23969" to="3077,23969" fillcolor="this" stroked="t" strokecolor="black" strokeweight="0.48pt">
                  <v:stroke joinstyle="round"/>
                </v:line>
                <v:line id="_x0000_s1032" style="position:absolute;v-text-anchor:top" from="3077,24478" to="24430,24478" fillcolor="this" stroked="t" strokecolor="black" strokeweight="1.44pt">
                  <v:stroke joinstyle="round"/>
                </v:line>
                <v:line id="_x0000_s1033" style="position:absolute;v-text-anchor:top" from="3077,23969" to="24430,23969" fillcolor="this" stroked="t" strokecolor="black" strokeweight="0.48pt">
                  <v:stroke joinstyle="round"/>
                </v:line>
                <v:line id="_x0000_s1034" style="position:absolute;v-text-anchor:top" from="3077,23485" to="24430,23485" fillcolor="this" stroked="t" strokecolor="black" strokeweight="0.48pt">
                  <v:stroke joinstyle="round"/>
                </v:line>
                <v:line id="_x0000_s1035" style="position:absolute;v-text-anchor:top" from="24430,24478" to="24564,24478" fillcolor="this" stroked="t" strokecolor="black" strokeweight="1.44pt">
                  <v:stroke joinstyle="round"/>
                </v:line>
                <v:line id="_x0000_s1036" style="position:absolute;v-text-anchor:top" from="24430,23969" to="24497,23969" fillcolor="this" stroked="t" strokecolor="black" strokeweight="0.48pt">
                  <v:stroke joinstyle="round"/>
                </v:line>
                <v:line id="_x0000_s1037" style="position:absolute;v-text-anchor:top" from="3022,3744" to="3022,24096" fillcolor="this" stroked="t" strokecolor="black" strokeweight="0.48pt">
                  <v:stroke joinstyle="round"/>
                </v:line>
                <v:line id="_x0000_s1038" style="position:absolute;v-text-anchor:top" from="3066,4228" to="3066,23612" fillcolor="this" stroked="t" strokecolor="black" strokeweight="0.48pt">
                  <v:stroke joinstyle="round"/>
                </v:line>
                <v:line id="_x0000_s1039" style="position:absolute;v-text-anchor:top" from="24532,15971" to="24532,24835" fillcolor="this" stroked="t" strokecolor="black" strokeweight="1.44pt">
                  <v:stroke joinstyle="round"/>
                </v:line>
                <v:line id="_x0000_s1040" style="position:absolute;v-text-anchor:top" from="24486,3744" to="24486,24096" fillcolor="this" stroked="t" strokecolor="black" strokeweight="0.48pt">
                  <v:stroke joinstyle="round"/>
                </v:line>
                <v:line id="_x0000_s1041" style="position:absolute;v-text-anchor:top" from="24442,4228" to="24442,23612" fillcolor="this" stroked="t" strokecolor="black" strokeweight="0.48pt">
                  <v:stroke joinstyle="round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width:21454;height:19995;left:3045;position:absolute;top:4101;v-text-anchor:top" filled="f" fillcolor="this" stroked="f">
                  <v:textbox inset="0,0,0,0">
                    <w:txbxContent>
                      <w:p w:rsidR="00B23D65" w:rsidRPr="000A158D" w:rsidP="00531420" w14:paraId="7521DD75" w14:textId="25829AB9">
                        <w:pPr>
                          <w:bidi w:val="0"/>
                          <w:spacing w:before="84"/>
                          <w:ind w:left="924" w:right="903"/>
                          <w:jc w:val="center"/>
                          <w:rPr>
                            <w:rFonts w:ascii="Arial" w:hAnsi="Arial" w:cs="Arial"/>
                            <w:b/>
                            <w:sz w:val="25"/>
                            <w:szCs w:val="25"/>
                          </w:rPr>
                        </w:pPr>
                        <w:r>
                          <w:rPr>
                            <w:rStyle w:val="DefaultParagraphFont"/>
                            <w:rFonts w:ascii="Arial" w:eastAsia="Arial" w:hAnsi="Arial" w:cs="Arial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auto"/>
                            <w:spacing w:val="0"/>
                            <w:w w:val="100"/>
                            <w:kern w:val="0"/>
                            <w:position w:val="0"/>
                            <w:sz w:val="25"/>
                            <w:szCs w:val="25"/>
                            <w:highlight w:val="none"/>
                            <w:u w:val="none" w:color="auto"/>
                            <w:bdr w:val="none" w:sz="0" w:space="0" w:color="auto"/>
                            <w:shd w:val="clear" w:color="auto" w:fill="auto"/>
                            <w:vertAlign w:val="baseline"/>
                            <w:rtl w:val="0"/>
                            <w:cs w:val="0"/>
                            <w:lang w:val="cy-GB" w:eastAsia="en-US" w:bidi="ar-SA"/>
                          </w:rPr>
                          <w:t>Ymateb gan Ombwdsmon Gwasanaethau Cyhoeddus Cymru i ymgynghoriad Llywodraeth Cymru ‘Cymru Fwy Cyfartal:</w:t>
                        </w:r>
                        <w:r>
                          <w:rPr>
                            <w:rStyle w:val="DefaultParagraphFont"/>
                            <w:rFonts w:ascii="Arial" w:eastAsia="Arial" w:hAnsi="Arial" w:cs="Arial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auto"/>
                            <w:spacing w:val="0"/>
                            <w:w w:val="100"/>
                            <w:kern w:val="0"/>
                            <w:position w:val="0"/>
                            <w:sz w:val="25"/>
                            <w:szCs w:val="25"/>
                            <w:highlight w:val="none"/>
                            <w:u w:val="none" w:color="auto"/>
                            <w:bdr w:val="none" w:sz="0" w:space="0" w:color="auto"/>
                            <w:shd w:val="clear" w:color="auto" w:fill="auto"/>
                            <w:vertAlign w:val="baseline"/>
                            <w:rtl w:val="0"/>
                            <w:cs w:val="0"/>
                            <w:lang w:val="cy-GB" w:eastAsia="en-US" w:bidi="ar-SA"/>
                          </w:rPr>
                          <w:t xml:space="preserve"> </w:t>
                        </w:r>
                        <w:r>
                          <w:rPr>
                            <w:rStyle w:val="DefaultParagraphFont"/>
                            <w:rFonts w:ascii="Arial" w:eastAsia="Arial" w:hAnsi="Arial" w:cs="Arial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auto"/>
                            <w:spacing w:val="0"/>
                            <w:w w:val="100"/>
                            <w:kern w:val="0"/>
                            <w:position w:val="0"/>
                            <w:sz w:val="25"/>
                            <w:szCs w:val="25"/>
                            <w:highlight w:val="none"/>
                            <w:u w:val="none" w:color="auto"/>
                            <w:bdr w:val="none" w:sz="0" w:space="0" w:color="auto"/>
                            <w:shd w:val="clear" w:color="auto" w:fill="auto"/>
                            <w:vertAlign w:val="baseline"/>
                            <w:rtl w:val="0"/>
                            <w:cs w:val="0"/>
                            <w:lang w:val="cy-GB" w:eastAsia="en-US" w:bidi="ar-SA"/>
                          </w:rPr>
                          <w:t>Atgyfnerthu Partneriaeth Gymdeithasol’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B23D65" w:rsidRPr="00D46AAD" w:rsidP="009811C9" w14:paraId="66370A1A" w14:textId="77777777">
      <w:pPr>
        <w:pStyle w:val="BodyText"/>
        <w:spacing w:before="5" w:line="276" w:lineRule="auto"/>
        <w:rPr>
          <w:rFonts w:ascii="Arial" w:hAnsi="Arial" w:cs="Arial"/>
          <w:sz w:val="24"/>
          <w:szCs w:val="24"/>
        </w:rPr>
      </w:pPr>
    </w:p>
    <w:p w:rsidR="00B23D65" w:rsidRPr="00D46AAD" w:rsidP="009811C9" w14:paraId="46A9F8FC" w14:textId="1E768007">
      <w:pPr>
        <w:pStyle w:val="BodyText"/>
        <w:bidi w:val="0"/>
        <w:spacing w:before="56" w:after="120" w:line="276" w:lineRule="auto"/>
        <w:ind w:left="260" w:right="56"/>
        <w:rPr>
          <w:rFonts w:ascii="Arial" w:hAnsi="Arial" w:cs="Arial"/>
          <w:sz w:val="24"/>
          <w:szCs w:val="24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Rwy’n falch o gael y cyfle i ymateb i ymgynghoriad Llywodraeth Cymru ‘Cymru Fwy Cyfartal: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Atgyfnerthu Partneriaeth Gymdeithasol’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3333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.</w:t>
      </w:r>
    </w:p>
    <w:p w:rsidR="00B23D65" w:rsidRPr="00D46AAD" w:rsidP="009811C9" w14:paraId="7E6133C1" w14:textId="7EAD29FB">
      <w:pPr>
        <w:pStyle w:val="BodyText"/>
        <w:bidi w:val="0"/>
        <w:spacing w:after="120" w:line="276" w:lineRule="auto"/>
        <w:ind w:left="259" w:right="56"/>
        <w:rPr>
          <w:rFonts w:ascii="Arial" w:hAnsi="Arial" w:cs="Arial"/>
          <w:sz w:val="24"/>
          <w:szCs w:val="24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Fel Ombwdsmon Gwasanaethau Cyhoeddus Cymru (OGCC), rwy’n ymchwilio i gwynion a wnaed gan aelodau o’r cyhoedd sy’n credu eu bod wedi dioddef caledi neu anghyfiawnder drwy gamweinyddiaeth neu fethiant gwasanaeth gan gorff o fewn fy awdurdodaeth, sydd yn ei hanfod yn cynnwys yr holl sefydliadau sy’n darparu gwasanaethau cyhoeddus sydd wedi’u datganoli i Gymru.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Mae’r rhain yn cynnwys:</w:t>
      </w:r>
    </w:p>
    <w:p w:rsidR="00B23D65" w:rsidRPr="00D46AAD" w:rsidP="009811C9" w14:paraId="720B7C02" w14:textId="1410863F">
      <w:pPr>
        <w:pStyle w:val="ListParagraph"/>
        <w:numPr>
          <w:ilvl w:val="0"/>
          <w:numId w:val="1"/>
        </w:numPr>
        <w:tabs>
          <w:tab w:val="left" w:pos="1536"/>
          <w:tab w:val="left" w:pos="1537"/>
        </w:tabs>
        <w:bidi w:val="0"/>
        <w:spacing w:after="120" w:line="276" w:lineRule="auto"/>
        <w:ind w:right="56"/>
        <w:rPr>
          <w:rFonts w:ascii="Arial" w:hAnsi="Arial" w:cs="Arial"/>
          <w:sz w:val="24"/>
          <w:szCs w:val="24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llywodraeth leol (cynghorau sir a chynghorau cymuned)</w:t>
      </w:r>
    </w:p>
    <w:p w:rsidR="00B23D65" w:rsidRPr="00D46AAD" w:rsidP="009811C9" w14:paraId="3DA14419" w14:textId="58FAC9BF">
      <w:pPr>
        <w:pStyle w:val="ListParagraph"/>
        <w:numPr>
          <w:ilvl w:val="0"/>
          <w:numId w:val="1"/>
        </w:numPr>
        <w:tabs>
          <w:tab w:val="left" w:pos="1536"/>
          <w:tab w:val="left" w:pos="1537"/>
        </w:tabs>
        <w:bidi w:val="0"/>
        <w:spacing w:after="120" w:line="276" w:lineRule="auto"/>
        <w:ind w:right="56"/>
        <w:rPr>
          <w:rFonts w:ascii="Arial" w:hAnsi="Arial" w:cs="Arial"/>
          <w:sz w:val="24"/>
          <w:szCs w:val="24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y Gwasanaeth Iechyd Gwladol (gan gynnwys Meddygon Teulu a deintyddion)</w:t>
      </w:r>
    </w:p>
    <w:p w:rsidR="00B23D65" w:rsidRPr="00D46AAD" w:rsidP="009811C9" w14:paraId="6EBE5828" w14:textId="281A7A55">
      <w:pPr>
        <w:pStyle w:val="ListParagraph"/>
        <w:numPr>
          <w:ilvl w:val="0"/>
          <w:numId w:val="1"/>
        </w:numPr>
        <w:tabs>
          <w:tab w:val="left" w:pos="1536"/>
          <w:tab w:val="left" w:pos="1537"/>
        </w:tabs>
        <w:bidi w:val="0"/>
        <w:spacing w:after="120" w:line="276" w:lineRule="auto"/>
        <w:ind w:right="56"/>
        <w:rPr>
          <w:rFonts w:ascii="Arial" w:hAnsi="Arial" w:cs="Arial"/>
          <w:sz w:val="24"/>
          <w:szCs w:val="24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landlordiaid cymdeithasol cofrestredig (cymdeithasau tai)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B23D65" w:rsidRPr="00D46AAD" w:rsidP="009811C9" w14:paraId="655F39C5" w14:textId="0645A9F3">
      <w:pPr>
        <w:pStyle w:val="ListParagraph"/>
        <w:numPr>
          <w:ilvl w:val="0"/>
          <w:numId w:val="1"/>
        </w:numPr>
        <w:tabs>
          <w:tab w:val="left" w:pos="1536"/>
          <w:tab w:val="left" w:pos="1537"/>
        </w:tabs>
        <w:bidi w:val="0"/>
        <w:spacing w:after="120" w:line="276" w:lineRule="auto"/>
        <w:ind w:right="56"/>
        <w:rPr>
          <w:rFonts w:ascii="Arial" w:hAnsi="Arial" w:cs="Arial"/>
          <w:sz w:val="24"/>
          <w:szCs w:val="24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Llywodraeth Cymru, ynghyd â’i chyrff noddedig.</w:t>
      </w:r>
    </w:p>
    <w:p w:rsidR="00337BB4" w:rsidRPr="00D46AAD" w:rsidP="009811C9" w14:paraId="08DCBC55" w14:textId="3273DE3E">
      <w:pPr>
        <w:pStyle w:val="BodyText"/>
        <w:bidi w:val="0"/>
        <w:spacing w:before="1" w:after="120" w:line="276" w:lineRule="auto"/>
        <w:ind w:left="259" w:right="56"/>
        <w:rPr>
          <w:rFonts w:ascii="Arial" w:hAnsi="Arial" w:cs="Arial"/>
          <w:sz w:val="24"/>
          <w:szCs w:val="24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Rwyf hefyd yn gallu ystyried cwynion am ofal cymdeithasol a drefnwyd yn breifat neu ofal cymdeithasol a ariennir, yn ogystal â gwasanaethau gofal lliniarol ac, o dan amgylchiadau penodol, agweddau o ofal iechyd a ariennir yn breifat.</w:t>
      </w:r>
    </w:p>
    <w:p w:rsidR="00191080" w:rsidRPr="00D46AAD" w:rsidP="009811C9" w14:paraId="1640AF17" w14:textId="7556B310">
      <w:pPr>
        <w:pStyle w:val="BodyText"/>
        <w:bidi w:val="0"/>
        <w:spacing w:before="1" w:after="120" w:line="276" w:lineRule="auto"/>
        <w:ind w:left="259" w:right="56"/>
        <w:rPr>
          <w:rFonts w:ascii="Arial" w:hAnsi="Arial" w:cs="Arial"/>
          <w:b/>
          <w:bCs/>
          <w:sz w:val="24"/>
          <w:szCs w:val="24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Cyd-destun</w:t>
      </w:r>
    </w:p>
    <w:p w:rsidR="0053700A" w:rsidRPr="003529E3" w:rsidP="003529E3" w14:paraId="7B15F8F0" w14:textId="087FEC91">
      <w:pPr>
        <w:pStyle w:val="BodyText"/>
        <w:bidi w:val="0"/>
        <w:spacing w:after="120" w:line="276" w:lineRule="auto"/>
        <w:ind w:left="258" w:right="56"/>
        <w:rPr>
          <w:rFonts w:ascii="Arial" w:hAnsi="Arial" w:cs="Arial"/>
          <w:sz w:val="24"/>
          <w:szCs w:val="24"/>
          <w:lang w:val="en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Rwy’n ymateb i’r ymgynghoriad hwn yn fy swydd fel cyflogwr ac arweinydd corff cyhoeddus yng Nghymru, ar sail dyletswyddau perthnasol eraill (e.e. y ddyletswydd cydraddoldeb).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Rwyf wedi ymrwymo i’r egwyddor o bartneriaeth gymdeithasol a’r ddyletswydd gwaith teg arfaethedig.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980AEF" w:rsidRPr="00D46AAD" w:rsidP="009811C9" w14:paraId="6D625AE3" w14:textId="77777777">
      <w:pPr>
        <w:pStyle w:val="CaseBook"/>
        <w:bidi w:val="0"/>
        <w:spacing w:after="12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Cwestiwn 3: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A ydych yn cytuno â'r cynigion i atgyfnerthu'r trefniadau ar gyfer partneriaeth gymdeithasol drwy gyflwyno deddfwriaeth i roi sail statudol iddynt?</w:t>
      </w:r>
    </w:p>
    <w:p w:rsidR="00597907" w:rsidRPr="00D46AAD" w:rsidP="009811C9" w14:paraId="75C90D65" w14:textId="77777777">
      <w:pPr>
        <w:pStyle w:val="CaseBook"/>
        <w:bidi w:val="0"/>
        <w:spacing w:after="12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Cwestiwn 2: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A ydych yn cytuno y bydd atgyfnerthu trefniadau ar gyfer partneriaeth gymdeithasol yn ategu uchelgeisiau Llywodraeth Cymru i sicrhau Cymru fwy cyfartal?</w:t>
      </w:r>
    </w:p>
    <w:p w:rsidR="007D0EFA" w:rsidRPr="00D46AAD" w:rsidP="009811C9" w14:paraId="053FEF9B" w14:textId="77777777">
      <w:pPr>
        <w:pStyle w:val="CaseBook"/>
        <w:bidi w:val="0"/>
        <w:spacing w:after="12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Cwestiwn 4: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Ai dyma'r meysydd cywir ar gyfer deddfwriaeth i gyflawni ein cynigion i atgyfnerthu trefniadau partneriaeth gymdeithasol a sefydlu egwyddorion gwaith teg ledled Cymru?</w:t>
      </w:r>
    </w:p>
    <w:p w:rsidR="009811C9" w:rsidRPr="00D46AAD" w:rsidP="009811C9" w14:paraId="56BC218C" w14:textId="746B5FCD">
      <w:pPr>
        <w:pStyle w:val="Default"/>
        <w:bidi w:val="0"/>
        <w:spacing w:after="120" w:line="276" w:lineRule="auto"/>
        <w:ind w:left="284"/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Cefnogaf yr egwyddor o bartneriaeth gymdeithasol a gwaith teg yn llwyr. Credaf i’r ddau fod wedi’u hymgorffori yng ngwaith fy swyddfa – heb unrhyw wahanol ddyletswydd statudol benodol a fynnai imi wneud hynny.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7D0EFA" w:rsidRPr="00D46AAD" w:rsidP="009811C9" w14:paraId="7C915AD1" w14:textId="1AD3CF78">
      <w:pPr>
        <w:pStyle w:val="Default"/>
        <w:bidi w:val="0"/>
        <w:spacing w:after="120" w:line="276" w:lineRule="auto"/>
        <w:ind w:left="284"/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Ni wrthwynebaf y cynigion i gyflwyno dyletswydd o’r fath ar gyfer y cyrff cyhoeddus perthnasol.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Fodd bynnag, credaf y dylid unrhyw ofynion o dan ddyletswydd o’r fath, yn arbennig mewn cysylltiad â chaffael, fod yn gymesur â galluoedd a natur gweithrediadau’r cyrff hyn, yn ogystal â’r effaith debygol arnyn nhw.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597907" w:rsidRPr="00D46AAD" w:rsidP="003D4ADF" w14:paraId="04C4EE2D" w14:textId="679CB830">
      <w:pPr>
        <w:pStyle w:val="Default"/>
        <w:bidi w:val="0"/>
        <w:spacing w:after="120" w:line="276" w:lineRule="auto"/>
        <w:ind w:left="284"/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Credaf hefyd y dylai dyletswydd o’r fath ychwanegu gwerth at ddyletswyddau presennol yn ogystal â’r rhai cynlluniedig sydd eisoes yn cefnogi arferion cyflogaeth a chaffael cadarn a theg (e.e. dyletswydd cydraddoldeb, dyletswydd llesiant a dyletswydd economaidd-gymdeithasol).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Dylai’r dyletswyddau hyn fod yn gyd-atgyfnerthol, heb greu llwyth gweinyddol diangen neu gymhlethdod.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</w:p>
    <w:p w:rsidR="00243D5B" w:rsidRPr="00D46AAD" w:rsidP="009811C9" w14:paraId="00F5F137" w14:textId="34231CBB">
      <w:pPr>
        <w:pStyle w:val="CaseBook"/>
        <w:bidi w:val="0"/>
        <w:spacing w:after="12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Cwestiwn 3: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A ydych yn credu y dylem gyflwyno deddfwriaeth i orfodi'r penderfyniadau a wneir drwy bartneriaeth gymdeithasol, a pha fath o gamau gorfodi y gellid eu cynnwys?</w:t>
      </w:r>
    </w:p>
    <w:p w:rsidR="001E5FEC" w:rsidRPr="00D46AAD" w:rsidP="009811C9" w14:paraId="32D0B942" w14:textId="5954C405">
      <w:pPr>
        <w:pStyle w:val="CaseBook"/>
        <w:bidi w:val="0"/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Cytunaf mewn egwyddor y dylid cyflwyno unrhyw ddyletswydd ochr yn ochr â threfniadau cadarn ar gyfer monitro cydymffurfiaeth.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At y diben hwn, ni chynigiaf farn ar rinweddau sefydlu Cyngor Partneriaeth Gymdeithasol newydd ac edrychaf ymlaen at gael rhagor o wybodaeth ynghylch statws a phŵer y corff arfaethedig.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Fodd bynnag, fel mater o egwyddor, arsylwaf y dylid llwybr iawndal clir fod ar gael i’r cyrff cyhoeddus hyn sy’n debygol o gael eu heffeithio yn sgil penderfyniadau’r Cyngor arfaethedig.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Mae hynny’n arbennig o wir os yw unrhyw bwerau gorfodi yn cael eu rhoi i gorff o’r fath.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6512DC" w:rsidRPr="00D46AAD" w:rsidP="009811C9" w14:paraId="4465B49A" w14:textId="7633777C">
      <w:pPr>
        <w:pStyle w:val="CaseBook"/>
        <w:bidi w:val="0"/>
        <w:spacing w:after="12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Sylwadau cloi</w:t>
      </w:r>
    </w:p>
    <w:p w:rsidR="003261F5" w:rsidRPr="00D46AAD" w:rsidP="009811C9" w14:paraId="45DB9B6D" w14:textId="0252F2DE">
      <w:pPr>
        <w:bidi w:val="0"/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Rwy’n hyderu y byddwch chi yn gweld fy sylwadau yn ddefnyddiol.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Os dymunwch drafod unrhyw un o’r pwyntiau a wneuthum, mae croeso i chi gysylltu ag Ania Rolewska, Pennaeth Polisi</w:t>
      </w:r>
      <w:r>
        <w:fldChar w:fldCharType="begin"/>
      </w:r>
      <w:r>
        <w:instrText xml:space="preserve"> HYPERLINK "mailto:ania.rolewska@ombudsman.wales" </w:instrText>
      </w:r>
      <w:r>
        <w:fldChar w:fldCharType="separate"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FF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ania.rolewska@ombudsman.wales</w:t>
      </w:r>
      <w:r>
        <w:fldChar w:fldCharType="end"/>
      </w:r>
    </w:p>
    <w:p w:rsidR="00BD55C8" w:rsidRPr="00D46AAD" w:rsidP="009811C9" w14:paraId="6D31CCC2" w14:textId="77777777">
      <w:pPr>
        <w:pStyle w:val="BodyText"/>
        <w:spacing w:line="276" w:lineRule="auto"/>
        <w:ind w:right="56"/>
        <w:rPr>
          <w:rFonts w:ascii="Arial" w:hAnsi="Arial" w:cs="Arial"/>
          <w:sz w:val="24"/>
          <w:szCs w:val="24"/>
        </w:rPr>
      </w:pPr>
    </w:p>
    <w:p w:rsidR="00B23D65" w:rsidRPr="00D46AAD" w:rsidP="009811C9" w14:paraId="3CDA783E" w14:textId="4DD00856">
      <w:pPr>
        <w:pStyle w:val="BodyText"/>
        <w:spacing w:before="5" w:line="276" w:lineRule="auto"/>
        <w:ind w:left="284"/>
        <w:rPr>
          <w:rFonts w:ascii="Arial" w:hAnsi="Arial" w:cs="Arial"/>
          <w:sz w:val="24"/>
          <w:szCs w:val="24"/>
        </w:rPr>
      </w:pPr>
      <w:r w:rsidRPr="00D46AA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43100" cy="690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74265" name="Nick Sig.pn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108" cy="70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5C8" w:rsidRPr="00D46AAD" w:rsidP="009811C9" w14:paraId="7453F5E3" w14:textId="2F557F7F">
      <w:pPr>
        <w:pStyle w:val="Heading1"/>
        <w:spacing w:before="1" w:line="276" w:lineRule="auto"/>
        <w:ind w:left="284"/>
        <w:rPr>
          <w:rFonts w:ascii="Arial" w:hAnsi="Arial" w:cs="Arial"/>
          <w:sz w:val="24"/>
          <w:szCs w:val="24"/>
        </w:rPr>
      </w:pPr>
    </w:p>
    <w:p w:rsidR="00BD55C8" w:rsidRPr="00D46AAD" w:rsidP="009811C9" w14:paraId="1345FB5F" w14:textId="447C0C7E">
      <w:pPr>
        <w:pStyle w:val="Heading1"/>
        <w:bidi w:val="0"/>
        <w:spacing w:before="1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Nick Bennett</w:t>
      </w:r>
    </w:p>
    <w:p w:rsidR="00B23D65" w:rsidRPr="00D46AAD" w:rsidP="009811C9" w14:paraId="2443A4C3" w14:textId="540D0A03">
      <w:pPr>
        <w:pStyle w:val="Heading1"/>
        <w:bidi w:val="0"/>
        <w:spacing w:before="1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Ombwdsmon Gwasanaethau Cyhoeddus Cymru </w:t>
      </w:r>
    </w:p>
    <w:p w:rsidR="00BD55C8" w:rsidRPr="00D46AAD" w:rsidP="009811C9" w14:paraId="6BFBB917" w14:textId="6735BBAC">
      <w:pPr>
        <w:bidi w:val="0"/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Tachwedd 2019</w:t>
      </w:r>
    </w:p>
    <w:p w:rsidR="00B23D65" w:rsidRPr="00D46AAD" w:rsidP="009811C9" w14:paraId="7AD2CF55" w14:textId="77777777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D46AAD">
        <w:rPr>
          <w:rFonts w:ascii="Arial" w:hAnsi="Arial" w:cs="Arial"/>
          <w:b/>
          <w:sz w:val="24"/>
          <w:szCs w:val="24"/>
        </w:rPr>
        <w:t>***************************************************************************</w:t>
      </w:r>
    </w:p>
    <w:sectPr w:rsidSect="00986A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418" w:right="1320" w:bottom="280" w:left="13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4765" w14:paraId="2B5A424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4765" w14:paraId="7A383E6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4765" w14:paraId="58E782F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4765" w14:paraId="734F36D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97808744"/>
      <w:docPartObj>
        <w:docPartGallery w:val="Watermarks"/>
        <w:docPartUnique/>
      </w:docPartObj>
    </w:sdtPr>
    <w:sdtContent>
      <w:p w:rsidR="000E4765" w14:paraId="00697511" w14:textId="4F71F7F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4765" w14:paraId="7C90FAE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EB4B4C"/>
    <w:multiLevelType w:val="hybridMultilevel"/>
    <w:tmpl w:val="AD88AA8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EC42CCF"/>
    <w:multiLevelType w:val="hybridMultilevel"/>
    <w:tmpl w:val="74BA6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B6A81"/>
    <w:multiLevelType w:val="hybridMultilevel"/>
    <w:tmpl w:val="567C3AB4"/>
    <w:lvl w:ilvl="0">
      <w:start w:val="0"/>
      <w:numFmt w:val="bullet"/>
      <w:lvlText w:val=""/>
      <w:lvlJc w:val="left"/>
      <w:pPr>
        <w:ind w:left="1536" w:hanging="425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372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05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37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0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3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5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8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1" w:hanging="425"/>
      </w:pPr>
      <w:rPr>
        <w:rFonts w:hint="default"/>
      </w:rPr>
    </w:lvl>
  </w:abstractNum>
  <w:abstractNum w:abstractNumId="3">
    <w:nsid w:val="65A35B2C"/>
    <w:multiLevelType w:val="hybridMultilevel"/>
    <w:tmpl w:val="E1D4472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65"/>
    <w:rsid w:val="000250C6"/>
    <w:rsid w:val="000356B1"/>
    <w:rsid w:val="000543D4"/>
    <w:rsid w:val="000758B5"/>
    <w:rsid w:val="000A158D"/>
    <w:rsid w:val="000A2AD0"/>
    <w:rsid w:val="000B1928"/>
    <w:rsid w:val="000C0576"/>
    <w:rsid w:val="000E0553"/>
    <w:rsid w:val="000E4765"/>
    <w:rsid w:val="00106889"/>
    <w:rsid w:val="00164815"/>
    <w:rsid w:val="00171827"/>
    <w:rsid w:val="0018406B"/>
    <w:rsid w:val="00191080"/>
    <w:rsid w:val="00194CBB"/>
    <w:rsid w:val="001A184E"/>
    <w:rsid w:val="001C4C15"/>
    <w:rsid w:val="001E5FEC"/>
    <w:rsid w:val="001E7024"/>
    <w:rsid w:val="00230C85"/>
    <w:rsid w:val="00243D5B"/>
    <w:rsid w:val="00250F79"/>
    <w:rsid w:val="002513BF"/>
    <w:rsid w:val="00272516"/>
    <w:rsid w:val="002815D0"/>
    <w:rsid w:val="0028512E"/>
    <w:rsid w:val="00296AED"/>
    <w:rsid w:val="00297126"/>
    <w:rsid w:val="002C0CD7"/>
    <w:rsid w:val="002C5A32"/>
    <w:rsid w:val="002C647B"/>
    <w:rsid w:val="002D593A"/>
    <w:rsid w:val="003261F5"/>
    <w:rsid w:val="003360B2"/>
    <w:rsid w:val="00337BB4"/>
    <w:rsid w:val="003529E3"/>
    <w:rsid w:val="00372322"/>
    <w:rsid w:val="003823D6"/>
    <w:rsid w:val="003A62F9"/>
    <w:rsid w:val="003D4ADF"/>
    <w:rsid w:val="003D7E1B"/>
    <w:rsid w:val="00446923"/>
    <w:rsid w:val="00455D9D"/>
    <w:rsid w:val="00472854"/>
    <w:rsid w:val="00477E91"/>
    <w:rsid w:val="00482B5D"/>
    <w:rsid w:val="004A3838"/>
    <w:rsid w:val="004C4107"/>
    <w:rsid w:val="004E248D"/>
    <w:rsid w:val="00504892"/>
    <w:rsid w:val="00507897"/>
    <w:rsid w:val="0051757E"/>
    <w:rsid w:val="00530A56"/>
    <w:rsid w:val="00531420"/>
    <w:rsid w:val="0053173E"/>
    <w:rsid w:val="0053700A"/>
    <w:rsid w:val="00551C4C"/>
    <w:rsid w:val="0059564C"/>
    <w:rsid w:val="00596517"/>
    <w:rsid w:val="00597907"/>
    <w:rsid w:val="005A3258"/>
    <w:rsid w:val="005D01A2"/>
    <w:rsid w:val="005F1BD0"/>
    <w:rsid w:val="005F3521"/>
    <w:rsid w:val="00623362"/>
    <w:rsid w:val="00636835"/>
    <w:rsid w:val="00643BFB"/>
    <w:rsid w:val="00650E3E"/>
    <w:rsid w:val="006512DC"/>
    <w:rsid w:val="006573F8"/>
    <w:rsid w:val="00680D55"/>
    <w:rsid w:val="006B6991"/>
    <w:rsid w:val="006C0C6C"/>
    <w:rsid w:val="006D1C27"/>
    <w:rsid w:val="006E3214"/>
    <w:rsid w:val="007043D9"/>
    <w:rsid w:val="00714BAD"/>
    <w:rsid w:val="00720928"/>
    <w:rsid w:val="00735038"/>
    <w:rsid w:val="00747DAB"/>
    <w:rsid w:val="0077625C"/>
    <w:rsid w:val="00777306"/>
    <w:rsid w:val="00785DCD"/>
    <w:rsid w:val="007A45BD"/>
    <w:rsid w:val="007C0B5A"/>
    <w:rsid w:val="007D0EFA"/>
    <w:rsid w:val="00805F1D"/>
    <w:rsid w:val="008241F8"/>
    <w:rsid w:val="00825CDC"/>
    <w:rsid w:val="00834965"/>
    <w:rsid w:val="008423BC"/>
    <w:rsid w:val="00854948"/>
    <w:rsid w:val="008577BA"/>
    <w:rsid w:val="008662A1"/>
    <w:rsid w:val="008C6F97"/>
    <w:rsid w:val="008D114A"/>
    <w:rsid w:val="00930A23"/>
    <w:rsid w:val="009513D7"/>
    <w:rsid w:val="00953D88"/>
    <w:rsid w:val="00980AEF"/>
    <w:rsid w:val="009811C9"/>
    <w:rsid w:val="00981B5A"/>
    <w:rsid w:val="00983991"/>
    <w:rsid w:val="00986ACD"/>
    <w:rsid w:val="009B6646"/>
    <w:rsid w:val="009C2D78"/>
    <w:rsid w:val="009D0624"/>
    <w:rsid w:val="009E2095"/>
    <w:rsid w:val="009F11D2"/>
    <w:rsid w:val="009F5095"/>
    <w:rsid w:val="00A36215"/>
    <w:rsid w:val="00A44413"/>
    <w:rsid w:val="00A60C8B"/>
    <w:rsid w:val="00A662BA"/>
    <w:rsid w:val="00AA0D68"/>
    <w:rsid w:val="00AB6F37"/>
    <w:rsid w:val="00AC0DCC"/>
    <w:rsid w:val="00AF3AC6"/>
    <w:rsid w:val="00AF41F8"/>
    <w:rsid w:val="00AF7255"/>
    <w:rsid w:val="00B06080"/>
    <w:rsid w:val="00B23D65"/>
    <w:rsid w:val="00B44B22"/>
    <w:rsid w:val="00B47F76"/>
    <w:rsid w:val="00B71CA8"/>
    <w:rsid w:val="00B82E37"/>
    <w:rsid w:val="00B8330F"/>
    <w:rsid w:val="00BB5959"/>
    <w:rsid w:val="00BB6778"/>
    <w:rsid w:val="00BC5B53"/>
    <w:rsid w:val="00BD55C8"/>
    <w:rsid w:val="00BE640D"/>
    <w:rsid w:val="00BF1837"/>
    <w:rsid w:val="00C014B5"/>
    <w:rsid w:val="00C06CC0"/>
    <w:rsid w:val="00C4322D"/>
    <w:rsid w:val="00C90C43"/>
    <w:rsid w:val="00CB47E7"/>
    <w:rsid w:val="00CB529D"/>
    <w:rsid w:val="00CC7356"/>
    <w:rsid w:val="00CD4BC5"/>
    <w:rsid w:val="00D176B1"/>
    <w:rsid w:val="00D215E8"/>
    <w:rsid w:val="00D27B78"/>
    <w:rsid w:val="00D30FB7"/>
    <w:rsid w:val="00D46AAD"/>
    <w:rsid w:val="00DB1332"/>
    <w:rsid w:val="00DB3714"/>
    <w:rsid w:val="00DD056E"/>
    <w:rsid w:val="00DF0892"/>
    <w:rsid w:val="00E42E96"/>
    <w:rsid w:val="00E506D5"/>
    <w:rsid w:val="00E757B9"/>
    <w:rsid w:val="00E86757"/>
    <w:rsid w:val="00F26E47"/>
    <w:rsid w:val="00F46CDB"/>
    <w:rsid w:val="00F654B3"/>
    <w:rsid w:val="00F71202"/>
    <w:rsid w:val="00FB1EE6"/>
    <w:rsid w:val="00FC1439"/>
    <w:rsid w:val="00FE2C55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C5F699-A8FC-4E44-B38D-8517C360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36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B66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646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47F76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Default">
    <w:name w:val="Default"/>
    <w:rsid w:val="006573F8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261F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61F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6757"/>
    <w:rPr>
      <w:b/>
      <w:bCs/>
    </w:rPr>
  </w:style>
  <w:style w:type="paragraph" w:customStyle="1" w:styleId="CaseBook">
    <w:name w:val="CaseBook"/>
    <w:basedOn w:val="Normal"/>
    <w:qFormat/>
    <w:rsid w:val="00FC1439"/>
    <w:pPr>
      <w:adjustRightInd w:val="0"/>
    </w:pPr>
    <w:rPr>
      <w:rFonts w:ascii="Tahoma" w:eastAsia="Tahoma" w:hAnsi="Tahoma" w:cs="Tahoma"/>
      <w:lang w:val="en-US"/>
    </w:rPr>
  </w:style>
  <w:style w:type="paragraph" w:customStyle="1" w:styleId="CasebookHeadings">
    <w:name w:val="Casebook Headings"/>
    <w:basedOn w:val="Normal"/>
    <w:qFormat/>
    <w:rsid w:val="00FC1439"/>
    <w:pPr>
      <w:adjustRightInd w:val="0"/>
    </w:pPr>
    <w:rPr>
      <w:rFonts w:ascii="Tahoma" w:eastAsia="Tahoma" w:hAnsi="Tahoma" w:cs="Tahoma"/>
      <w:color w:val="0070C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3621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3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D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D5B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D5B"/>
    <w:rPr>
      <w:rFonts w:ascii="Calibri" w:eastAsia="Calibri" w:hAnsi="Calibri" w:cs="Calibri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47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765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47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765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911A3-F2A5-4EDA-A0CC-19B27BAAE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BCC157-3532-4902-AD8A-14F6C4DE812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655CC5-9179-49F2-8DA0-9E1AFCBFE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C9C2F-B260-4F24-827E-C2ABC1D7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Lora Williams</cp:lastModifiedBy>
  <cp:revision>2</cp:revision>
  <dcterms:created xsi:type="dcterms:W3CDTF">2019-12-11T08:25:00Z</dcterms:created>
  <dcterms:modified xsi:type="dcterms:W3CDTF">2019-12-11T08:25:00Z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2019-07-15T00:00:00Z</vt:filetime>
  </property>
</Properties>
</file>